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D6" w:rsidRDefault="005C7FD6" w:rsidP="005C7FD6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</w:pPr>
      <w:r w:rsidRPr="001635F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MATERNAL ENERGY ADJUSTED DIETARY INFLAMMATORY INDEX AND MATERNAL CARDIOMETABOLIC FACTORS IN PREGNANCY. FINDINGS FROM THE ROLO STUDY</w:t>
      </w:r>
    </w:p>
    <w:p w:rsidR="005C7FD6" w:rsidRPr="001635F1" w:rsidRDefault="005C7FD6" w:rsidP="005C7FD6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</w:pPr>
      <w:r w:rsidRPr="00166BF6">
        <w:rPr>
          <w:rFonts w:ascii="Times New Roman" w:hAnsi="Times New Roman" w:cs="Times New Roman"/>
          <w:noProof/>
          <w:lang w:eastAsia="en-GB"/>
        </w:rPr>
        <w:t>Gainfort</w:t>
      </w:r>
      <w:r>
        <w:rPr>
          <w:rFonts w:ascii="Times New Roman" w:hAnsi="Times New Roman" w:cs="Times New Roman"/>
          <w:noProof/>
          <w:lang w:eastAsia="en-GB"/>
        </w:rPr>
        <w:t xml:space="preserve"> A</w:t>
      </w:r>
      <w:r w:rsidRPr="00166BF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166BF6">
        <w:rPr>
          <w:rFonts w:ascii="Times New Roman" w:hAnsi="Times New Roman" w:cs="Times New Roman"/>
          <w:noProof/>
          <w:lang w:eastAsia="en-GB"/>
        </w:rPr>
        <w:t>, Delahunt</w:t>
      </w:r>
      <w:r>
        <w:rPr>
          <w:rFonts w:ascii="Times New Roman" w:hAnsi="Times New Roman" w:cs="Times New Roman"/>
          <w:noProof/>
          <w:lang w:eastAsia="en-GB"/>
        </w:rPr>
        <w:t xml:space="preserve"> A</w:t>
      </w:r>
      <w:r w:rsidRPr="00166BF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166BF6">
        <w:rPr>
          <w:rFonts w:ascii="Times New Roman" w:hAnsi="Times New Roman" w:cs="Times New Roman"/>
          <w:noProof/>
          <w:lang w:eastAsia="en-GB"/>
        </w:rPr>
        <w:t>, McAuliffe</w:t>
      </w:r>
      <w:r>
        <w:rPr>
          <w:rFonts w:ascii="Times New Roman" w:hAnsi="Times New Roman" w:cs="Times New Roman"/>
          <w:noProof/>
          <w:lang w:eastAsia="en-GB"/>
        </w:rPr>
        <w:t xml:space="preserve"> FM</w:t>
      </w:r>
      <w:r w:rsidRPr="00166BF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</w:p>
    <w:p w:rsidR="005C7FD6" w:rsidRPr="00166BF6" w:rsidRDefault="005C7FD6" w:rsidP="005C7FD6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en-GB"/>
        </w:rPr>
      </w:pPr>
      <w:bookmarkStart w:id="0" w:name="_Hlk89073006"/>
      <w:r w:rsidRPr="00166BF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bookmarkEnd w:id="0"/>
      <w:r w:rsidRPr="00166BF6">
        <w:rPr>
          <w:rFonts w:ascii="Times New Roman" w:hAnsi="Times New Roman" w:cs="Times New Roman"/>
          <w:noProof/>
          <w:sz w:val="20"/>
          <w:szCs w:val="20"/>
          <w:lang w:eastAsia="en-GB"/>
        </w:rPr>
        <w:t>UCD Perinatal Research Centre, School of Medicine, National Maternity Hospital, University</w:t>
      </w:r>
    </w:p>
    <w:p w:rsidR="005C7FD6" w:rsidRPr="00166BF6" w:rsidRDefault="005C7FD6" w:rsidP="005C7FD6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en-GB"/>
        </w:rPr>
      </w:pPr>
      <w:r w:rsidRPr="00166BF6">
        <w:rPr>
          <w:rFonts w:ascii="Times New Roman" w:hAnsi="Times New Roman" w:cs="Times New Roman"/>
          <w:noProof/>
          <w:sz w:val="20"/>
          <w:szCs w:val="20"/>
          <w:lang w:eastAsia="en-GB"/>
        </w:rPr>
        <w:t>College Dublin, Ireland</w:t>
      </w:r>
    </w:p>
    <w:p w:rsidR="005C7FD6" w:rsidRPr="00BC78A4" w:rsidRDefault="005C7FD6" w:rsidP="005C7FD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C7FD6" w:rsidRPr="00525C8F" w:rsidRDefault="005C7FD6" w:rsidP="005C7FD6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</w:pPr>
      <w:r w:rsidRPr="00525C8F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Background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:</w:t>
      </w:r>
    </w:p>
    <w:p w:rsidR="005C7FD6" w:rsidRPr="00525C8F" w:rsidRDefault="005C7FD6" w:rsidP="005C7FD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525C8F">
        <w:rPr>
          <w:rFonts w:ascii="Times New Roman" w:hAnsi="Times New Roman" w:cs="Times New Roman"/>
          <w:noProof/>
          <w:sz w:val="24"/>
          <w:szCs w:val="24"/>
          <w:lang w:eastAsia="en-GB"/>
        </w:rPr>
        <w:t>Excessive inflammation during pregnancy has been linked to adverse pregnancy outcomes. Energy adjusted Dietary Inflammatory Index (E-DII) is a method of assessing the inflammatory potential of the diet. This analysis investigated if maternal E-DII during pregnancy is associated with maternal cardiometabolic factors in early and late pregnancy.</w:t>
      </w:r>
    </w:p>
    <w:p w:rsidR="005C7FD6" w:rsidRPr="00525C8F" w:rsidRDefault="005C7FD6" w:rsidP="005C7FD6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</w:pPr>
      <w:r w:rsidRPr="00525C8F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Methods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:</w:t>
      </w:r>
    </w:p>
    <w:p w:rsidR="005C7FD6" w:rsidRPr="00525C8F" w:rsidRDefault="005C7FD6" w:rsidP="005C7FD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525C8F">
        <w:rPr>
          <w:rFonts w:ascii="Times New Roman" w:hAnsi="Times New Roman" w:cs="Times New Roman"/>
          <w:noProof/>
          <w:sz w:val="24"/>
          <w:szCs w:val="24"/>
          <w:lang w:eastAsia="en-GB"/>
        </w:rPr>
        <w:t>This is secondary analysis of data from the ROLO (Randomised cOntrol trial of LOw glycaemic index diet in pregnancy) study (n=759). Scores for maternal E-DII were calculated for trimesters 1, 2 and 3 from 3-day food diaries (n=518). Weight and height were obtained at booking and body mass index (BMI) was calculated (kg/m2). Blood pressure (BP), fasting lipid profiles, glucose levels and HOMA1-IR were obtained at booking (12-14 weeks) and in late pregnancy (34 weeks). Multiple linear regression was used to examine associations between E-DII in trimester 1 and early and late cardiometabolic markers and E-DII in trimester 3 and late cardiometabolic factors. All analyses were adjusted for potential confounders.</w:t>
      </w:r>
    </w:p>
    <w:p w:rsidR="005C7FD6" w:rsidRPr="00525C8F" w:rsidRDefault="005C7FD6" w:rsidP="005C7FD6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</w:pPr>
      <w:r w:rsidRPr="00525C8F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Results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:</w:t>
      </w:r>
    </w:p>
    <w:p w:rsidR="005C7FD6" w:rsidRPr="00525C8F" w:rsidRDefault="005C7FD6" w:rsidP="005C7FD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525C8F">
        <w:rPr>
          <w:rFonts w:ascii="Times New Roman" w:hAnsi="Times New Roman" w:cs="Times New Roman"/>
          <w:noProof/>
          <w:sz w:val="24"/>
          <w:szCs w:val="24"/>
          <w:lang w:eastAsia="en-GB"/>
        </w:rPr>
        <w:t>In adjusted analysis, maternal E-DII in trimester 1 was positively associated with maternal BMI (B=0.476, p=0.001) early and late total cholesterol (B=0.155, p=0.001; B=0.127, p=0.012), early triglycerides (B=0.043, p=0.028), early and late LDL (B=0.126, p=0.002; B=0.110, p=0.031), late glucose (B=0.036, p=0.033) and early diastolic BP (B=0.538, p=0.024). A positive association</w:t>
      </w:r>
    </w:p>
    <w:p w:rsidR="005C7FD6" w:rsidRPr="00525C8F" w:rsidRDefault="005C7FD6" w:rsidP="005C7FD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525C8F">
        <w:rPr>
          <w:rFonts w:ascii="Times New Roman" w:hAnsi="Times New Roman" w:cs="Times New Roman"/>
          <w:noProof/>
          <w:sz w:val="24"/>
          <w:szCs w:val="24"/>
          <w:lang w:eastAsia="en-GB"/>
        </w:rPr>
        <w:t>was observed between E-DII in trimester 3 and late diastolic BP (B=0.624, p=0.019).</w:t>
      </w:r>
    </w:p>
    <w:p w:rsidR="005C7FD6" w:rsidRPr="00525C8F" w:rsidRDefault="005C7FD6" w:rsidP="005C7FD6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</w:pPr>
      <w:r w:rsidRPr="00525C8F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Conclusion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:</w:t>
      </w:r>
    </w:p>
    <w:p w:rsidR="005C7FD6" w:rsidRPr="00525C8F" w:rsidRDefault="005C7FD6" w:rsidP="005C7FD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525C8F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A diet low in pro-inflammatory foods during pregnancy may be of benefit to maternal cardiometabolic health. However, incorporating this advice into practice needs further exploration. </w:t>
      </w:r>
    </w:p>
    <w:p w:rsidR="005C7FD6" w:rsidRPr="00525C8F" w:rsidRDefault="005C7FD6" w:rsidP="005C7FD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C7FD6" w:rsidRPr="00525C8F" w:rsidRDefault="005C7FD6" w:rsidP="005C7FD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525C8F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Presenting Author: </w:t>
      </w:r>
      <w:bookmarkStart w:id="1" w:name="_GoBack"/>
      <w:r w:rsidRPr="00525C8F">
        <w:rPr>
          <w:rFonts w:ascii="Times New Roman" w:hAnsi="Times New Roman" w:cs="Times New Roman"/>
          <w:noProof/>
          <w:sz w:val="24"/>
          <w:szCs w:val="24"/>
          <w:lang w:eastAsia="en-GB"/>
        </w:rPr>
        <w:t>Anna Delahunt</w:t>
      </w:r>
    </w:p>
    <w:bookmarkEnd w:id="1"/>
    <w:p w:rsidR="007D2B0F" w:rsidRPr="00C433E0" w:rsidRDefault="005C7FD6" w:rsidP="00C433E0"/>
    <w:sectPr w:rsidR="007D2B0F" w:rsidRPr="00C43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B47F3"/>
    <w:multiLevelType w:val="hybridMultilevel"/>
    <w:tmpl w:val="D9483E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F6"/>
    <w:rsid w:val="000F7EC1"/>
    <w:rsid w:val="00455B73"/>
    <w:rsid w:val="0049730B"/>
    <w:rsid w:val="005C7FD6"/>
    <w:rsid w:val="008B28F6"/>
    <w:rsid w:val="00C4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FF9AF-0832-4F19-9F63-00C0DB7A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Morris</dc:creator>
  <cp:keywords/>
  <dc:description/>
  <cp:lastModifiedBy>Colette Morris</cp:lastModifiedBy>
  <cp:revision>2</cp:revision>
  <dcterms:created xsi:type="dcterms:W3CDTF">2021-12-03T11:11:00Z</dcterms:created>
  <dcterms:modified xsi:type="dcterms:W3CDTF">2021-12-03T11:11:00Z</dcterms:modified>
</cp:coreProperties>
</file>